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2A" w:rsidRDefault="00CB762A" w:rsidP="00CB762A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CB762A" w:rsidRDefault="00CB762A" w:rsidP="00FD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№_____ </w:t>
      </w: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Балей  </w:t>
      </w:r>
    </w:p>
    <w:p w:rsidR="00FD4B00" w:rsidRDefault="00FD4B00" w:rsidP="00FD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ind w:right="-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D4B00" w:rsidRDefault="00FD4B00" w:rsidP="00FD4B00">
      <w:pPr>
        <w:spacing w:after="0" w:line="240" w:lineRule="auto"/>
        <w:ind w:right="-46"/>
        <w:rPr>
          <w:rFonts w:ascii="Times New Roman" w:hAnsi="Times New Roman"/>
          <w:b/>
          <w:sz w:val="28"/>
          <w:szCs w:val="28"/>
        </w:rPr>
      </w:pPr>
    </w:p>
    <w:p w:rsidR="00FD4B00" w:rsidRDefault="00FD4B00" w:rsidP="00FD4B00">
      <w:pPr>
        <w:pStyle w:val="a4"/>
        <w:ind w:right="141"/>
        <w:jc w:val="both"/>
        <w:rPr>
          <w:szCs w:val="28"/>
        </w:rPr>
      </w:pPr>
      <w:r>
        <w:rPr>
          <w:szCs w:val="28"/>
        </w:rPr>
        <w:t xml:space="preserve">                   В соответствии со ст. 44 Федерального закона от 31 июля 2021 года </w:t>
      </w:r>
    </w:p>
    <w:p w:rsidR="00FD4B00" w:rsidRDefault="00FD4B00" w:rsidP="00FD4B00">
      <w:pPr>
        <w:pStyle w:val="a4"/>
        <w:ind w:right="141"/>
        <w:jc w:val="both"/>
        <w:rPr>
          <w:szCs w:val="28"/>
        </w:rPr>
      </w:pPr>
      <w:r>
        <w:rPr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ст.24 Устава муниципального района «</w:t>
      </w:r>
      <w:proofErr w:type="spellStart"/>
      <w:r>
        <w:rPr>
          <w:szCs w:val="28"/>
        </w:rPr>
        <w:t>Балейский</w:t>
      </w:r>
      <w:proofErr w:type="spellEnd"/>
      <w:r>
        <w:rPr>
          <w:szCs w:val="28"/>
        </w:rPr>
        <w:t xml:space="preserve"> район», администрация муниципального района «</w:t>
      </w:r>
      <w:proofErr w:type="spellStart"/>
      <w:r>
        <w:rPr>
          <w:szCs w:val="28"/>
        </w:rPr>
        <w:t>Балейский</w:t>
      </w:r>
      <w:proofErr w:type="spellEnd"/>
      <w:r>
        <w:rPr>
          <w:szCs w:val="28"/>
        </w:rPr>
        <w:t xml:space="preserve"> район»   </w:t>
      </w:r>
    </w:p>
    <w:p w:rsidR="00FD4B00" w:rsidRDefault="00FD4B00" w:rsidP="00FD4B00">
      <w:pPr>
        <w:pStyle w:val="a4"/>
        <w:ind w:right="141"/>
        <w:jc w:val="both"/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 :</w:t>
      </w:r>
    </w:p>
    <w:p w:rsidR="00FD4B00" w:rsidRDefault="00FD4B00" w:rsidP="00FD4B0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прилагаемую Программу </w:t>
      </w:r>
      <w:r w:rsidRPr="00CB5310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>
        <w:rPr>
          <w:rFonts w:ascii="Times New Roman" w:hAnsi="Times New Roman"/>
          <w:sz w:val="28"/>
          <w:szCs w:val="28"/>
        </w:rPr>
        <w:t>3</w:t>
      </w:r>
      <w:r w:rsidRPr="00CB53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Программа).</w:t>
      </w:r>
    </w:p>
    <w:p w:rsidR="00FD4B00" w:rsidRDefault="00FD4B00" w:rsidP="00FD4B0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имущественных и земельных отношений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/>
          <w:sz w:val="28"/>
          <w:szCs w:val="28"/>
        </w:rPr>
        <w:t>Стуковой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Е.Б.), уполномоченному на осуществление муниципального земельного контроля, обеспечить выполнение Программы в пределах своей компетенции.</w:t>
      </w:r>
    </w:p>
    <w:p w:rsidR="00A07CDD" w:rsidRPr="00A07CDD" w:rsidRDefault="00FD4B00" w:rsidP="00FD4B00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A07CDD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A07CDD">
        <w:rPr>
          <w:rFonts w:ascii="Times New Roman" w:hAnsi="Times New Roman"/>
          <w:sz w:val="28"/>
          <w:szCs w:val="28"/>
        </w:rPr>
        <w:t>Балейский</w:t>
      </w:r>
      <w:proofErr w:type="spellEnd"/>
      <w:r w:rsidR="00A07CD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айон» в информационно-телекоммуникационной сети «Интернет»</w:t>
      </w:r>
      <w:r w:rsidRPr="0085616A">
        <w:t xml:space="preserve"> </w:t>
      </w:r>
      <w:r w:rsidRPr="00A07CDD">
        <w:rPr>
          <w:rFonts w:ascii="Times New Roman" w:hAnsi="Times New Roman" w:cs="Times New Roman"/>
          <w:i/>
          <w:sz w:val="28"/>
          <w:szCs w:val="28"/>
        </w:rPr>
        <w:t>http:/</w:t>
      </w:r>
      <w:proofErr w:type="spellStart"/>
      <w:r w:rsidR="00A07CDD" w:rsidRPr="00A07CDD">
        <w:rPr>
          <w:rFonts w:ascii="Times New Roman" w:hAnsi="Times New Roman" w:cs="Times New Roman"/>
          <w:i/>
          <w:sz w:val="28"/>
          <w:szCs w:val="28"/>
          <w:lang w:val="en-US"/>
        </w:rPr>
        <w:t>baleysk</w:t>
      </w:r>
      <w:proofErr w:type="spellEnd"/>
      <w:r w:rsidR="00A07CDD" w:rsidRPr="00A07CDD">
        <w:rPr>
          <w:rFonts w:ascii="Times New Roman" w:hAnsi="Times New Roman" w:cs="Times New Roman"/>
          <w:i/>
          <w:sz w:val="28"/>
          <w:szCs w:val="28"/>
        </w:rPr>
        <w:t>.75</w:t>
      </w:r>
      <w:r w:rsidRPr="00A07CD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07CDD" w:rsidRPr="00A07CD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A07CDD">
        <w:rPr>
          <w:rFonts w:ascii="Times New Roman" w:hAnsi="Times New Roman" w:cs="Times New Roman"/>
          <w:i/>
          <w:sz w:val="28"/>
          <w:szCs w:val="28"/>
        </w:rPr>
        <w:t>.</w:t>
      </w:r>
    </w:p>
    <w:p w:rsidR="00FD4B00" w:rsidRDefault="00FD4B00" w:rsidP="00FD4B0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FD4B00" w:rsidRDefault="00FD4B00" w:rsidP="00FD4B0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FD4B00" w:rsidRDefault="00FD4B00" w:rsidP="00FD4B00">
      <w:pPr>
        <w:spacing w:after="0" w:line="240" w:lineRule="auto"/>
        <w:ind w:right="-46"/>
        <w:jc w:val="both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ind w:left="-100" w:right="-46"/>
        <w:jc w:val="both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В.А.Семибратов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FD4B00" w:rsidRDefault="00FD4B00" w:rsidP="00FD4B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58728E" w:rsidRDefault="0058728E" w:rsidP="00FD4B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FD4B00" w:rsidRDefault="00FD4B00" w:rsidP="00FD4B0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Болдырева Т.В.</w:t>
      </w:r>
    </w:p>
    <w:p w:rsidR="00FE23FB" w:rsidRPr="003E4A63" w:rsidRDefault="00FD4B00" w:rsidP="003E4A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т.5-13</w:t>
      </w:r>
      <w:r>
        <w:rPr>
          <w:rFonts w:ascii="Times New Roman" w:hAnsi="Times New Roman"/>
          <w:sz w:val="18"/>
          <w:szCs w:val="18"/>
        </w:rPr>
        <w:t>-56</w:t>
      </w:r>
    </w:p>
    <w:p w:rsidR="00FD4B00" w:rsidRPr="00337A6C" w:rsidRDefault="00FD4B00" w:rsidP="00FD4B00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D4B00" w:rsidRPr="00337A6C" w:rsidRDefault="00FD4B00" w:rsidP="00FD4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FD4B00" w:rsidRPr="00337A6C" w:rsidRDefault="00FD4B00" w:rsidP="00FD4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7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D4B00" w:rsidRPr="00337A6C" w:rsidRDefault="00FD4B00" w:rsidP="00FD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37A6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337A6C">
        <w:rPr>
          <w:rFonts w:ascii="Times New Roman" w:hAnsi="Times New Roman" w:cs="Times New Roman"/>
          <w:sz w:val="28"/>
          <w:szCs w:val="28"/>
        </w:rPr>
        <w:t>__________№__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4B00" w:rsidRDefault="00FD4B00" w:rsidP="00FD4B00">
      <w:pPr>
        <w:spacing w:after="0"/>
        <w:jc w:val="center"/>
      </w:pPr>
    </w:p>
    <w:p w:rsidR="00FD4B00" w:rsidRDefault="00FD4B00" w:rsidP="00FD4B00">
      <w:pPr>
        <w:jc w:val="center"/>
      </w:pPr>
    </w:p>
    <w:p w:rsidR="00FD4B00" w:rsidRPr="00337A6C" w:rsidRDefault="00FD4B00" w:rsidP="00FD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6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D4B00" w:rsidRPr="00337A6C" w:rsidRDefault="00FD4B00" w:rsidP="00FD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6C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337A6C">
        <w:rPr>
          <w:rFonts w:ascii="Times New Roman" w:hAnsi="Times New Roman" w:cs="Times New Roman"/>
          <w:b/>
          <w:sz w:val="28"/>
          <w:szCs w:val="28"/>
        </w:rPr>
        <w:br/>
        <w:t>по муниципальному земельному контролю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A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4B00" w:rsidRDefault="00FD4B00" w:rsidP="00FD4B00">
      <w:pPr>
        <w:autoSpaceDE w:val="0"/>
        <w:autoSpaceDN w:val="0"/>
        <w:adjustRightInd w:val="0"/>
        <w:spacing w:after="0"/>
        <w:ind w:firstLine="709"/>
        <w:jc w:val="both"/>
      </w:pPr>
    </w:p>
    <w:p w:rsidR="00FD4B00" w:rsidRPr="00337A6C" w:rsidRDefault="00FD4B00" w:rsidP="00FD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A6C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D4B00" w:rsidRDefault="00FD4B00" w:rsidP="00FD4B00">
      <w:pPr>
        <w:autoSpaceDE w:val="0"/>
        <w:autoSpaceDN w:val="0"/>
        <w:adjustRightInd w:val="0"/>
        <w:spacing w:after="0"/>
        <w:jc w:val="center"/>
        <w:rPr>
          <w:rFonts w:cs="Times New Roman CYR"/>
        </w:rPr>
      </w:pPr>
    </w:p>
    <w:p w:rsidR="00FD4B00" w:rsidRPr="00337A6C" w:rsidRDefault="00FD4B00" w:rsidP="00FD4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37A6C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</w:t>
      </w:r>
      <w:r>
        <w:rPr>
          <w:rFonts w:ascii="Times New Roman" w:hAnsi="Times New Roman" w:cs="Times New Roman"/>
          <w:sz w:val="28"/>
          <w:szCs w:val="28"/>
        </w:rPr>
        <w:t xml:space="preserve">-ФЗ «О государственном контроле </w:t>
      </w:r>
      <w:r w:rsidRPr="00337A6C">
        <w:rPr>
          <w:rFonts w:ascii="Times New Roman" w:hAnsi="Times New Roman" w:cs="Times New Roman"/>
          <w:sz w:val="28"/>
          <w:szCs w:val="28"/>
        </w:rPr>
        <w:t xml:space="preserve">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Pr="00337A6C">
        <w:rPr>
          <w:rFonts w:ascii="Times New Roman" w:hAnsi="Times New Roman" w:cs="Times New Roman"/>
          <w:sz w:val="28"/>
          <w:szCs w:val="28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337A6C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земельного контроля.</w:t>
      </w:r>
    </w:p>
    <w:p w:rsidR="00FD4B00" w:rsidRPr="00FE23FB" w:rsidRDefault="00FD4B00" w:rsidP="00F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>2. В 2022 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</w:t>
      </w:r>
    </w:p>
    <w:p w:rsidR="00FD4B00" w:rsidRPr="00FE23FB" w:rsidRDefault="00FD4B00" w:rsidP="00FE2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</w:t>
      </w:r>
      <w:r w:rsidRPr="00FE23F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FE23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E23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E23FB">
        <w:rPr>
          <w:rFonts w:ascii="Times New Roman" w:hAnsi="Times New Roman" w:cs="Times New Roman"/>
          <w:sz w:val="28"/>
          <w:szCs w:val="28"/>
        </w:rPr>
        <w:t xml:space="preserve"> в 2022 году: </w:t>
      </w:r>
    </w:p>
    <w:p w:rsidR="00FD4B00" w:rsidRPr="00FE23FB" w:rsidRDefault="00FE23FB" w:rsidP="00FE2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FB">
        <w:rPr>
          <w:rFonts w:ascii="Times New Roman" w:hAnsi="Times New Roman" w:cs="Times New Roman"/>
          <w:sz w:val="28"/>
          <w:szCs w:val="28"/>
        </w:rPr>
        <w:t>-</w:t>
      </w:r>
      <w:r w:rsidR="00FD4B00" w:rsidRPr="00FE23FB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A07CDD">
        <w:rPr>
          <w:rFonts w:ascii="Times New Roman" w:hAnsi="Times New Roman" w:cs="Times New Roman"/>
          <w:sz w:val="28"/>
          <w:szCs w:val="28"/>
        </w:rPr>
        <w:t>сайте</w:t>
      </w:r>
      <w:r w:rsidR="00FD4B00" w:rsidRPr="00FE23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FD4B00" w:rsidRPr="00FE23F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FD4B00" w:rsidRPr="00FE23FB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FD4B00" w:rsidRPr="00FE23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B00" w:rsidRPr="00FE23FB">
        <w:rPr>
          <w:rFonts w:ascii="Times New Roman" w:hAnsi="Times New Roman" w:cs="Times New Roman"/>
          <w:sz w:val="28"/>
          <w:szCs w:val="28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:rsidR="00FD4B00" w:rsidRPr="00FE23FB" w:rsidRDefault="00FE23FB" w:rsidP="00FE2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>-</w:t>
      </w:r>
      <w:r w:rsidR="00FD4B00" w:rsidRPr="00FE23FB">
        <w:rPr>
          <w:rFonts w:ascii="Times New Roman" w:hAnsi="Times New Roman" w:cs="Times New Roman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:rsidR="00FD4B00" w:rsidRPr="00FE23FB" w:rsidRDefault="00FE23FB" w:rsidP="00FE2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>-</w:t>
      </w:r>
      <w:r w:rsidR="00FD4B00" w:rsidRPr="00FE23FB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муниципальными правовыми актами; </w:t>
      </w:r>
    </w:p>
    <w:p w:rsidR="00FD4B00" w:rsidRPr="00FE23FB" w:rsidRDefault="00FD4B00" w:rsidP="00FE2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 xml:space="preserve">проводились обследования земельных участков. </w:t>
      </w:r>
    </w:p>
    <w:p w:rsidR="00FD4B00" w:rsidRDefault="00FD4B00" w:rsidP="00FE23FB">
      <w:pPr>
        <w:spacing w:after="0"/>
      </w:pPr>
    </w:p>
    <w:p w:rsidR="00FD4B00" w:rsidRPr="00337A6C" w:rsidRDefault="00FD4B00" w:rsidP="00FD4B00">
      <w:pPr>
        <w:spacing w:after="0" w:line="240" w:lineRule="auto"/>
        <w:ind w:left="698"/>
        <w:jc w:val="center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37A6C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FD4B00" w:rsidRPr="00337A6C" w:rsidRDefault="00FD4B00" w:rsidP="00FD4B00">
      <w:pPr>
        <w:spacing w:after="0"/>
        <w:ind w:left="698"/>
        <w:jc w:val="center"/>
        <w:rPr>
          <w:rFonts w:ascii="Times New Roman" w:hAnsi="Times New Roman" w:cs="Times New Roman"/>
          <w:sz w:val="28"/>
          <w:szCs w:val="28"/>
        </w:rPr>
      </w:pP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>4. Цели Программы профилактики: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>5. Задачи Программы профилактики: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EE60B5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EE60B5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FD4B00" w:rsidRPr="00EE60B5" w:rsidRDefault="00FD4B00" w:rsidP="00FD4B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0B5">
        <w:rPr>
          <w:rFonts w:ascii="Times New Roman" w:hAnsi="Times New Roman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FD4B00" w:rsidRDefault="00FD4B00" w:rsidP="00FD4B00">
      <w:pPr>
        <w:ind w:firstLine="709"/>
      </w:pPr>
    </w:p>
    <w:p w:rsidR="00FD4B00" w:rsidRDefault="00FD4B00" w:rsidP="00FD4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0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60B5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FD4B00" w:rsidRDefault="00FD4B00" w:rsidP="00FD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3962"/>
        <w:gridCol w:w="2473"/>
        <w:gridCol w:w="2463"/>
      </w:tblGrid>
      <w:tr w:rsidR="00FD4B00" w:rsidTr="001F2950">
        <w:tc>
          <w:tcPr>
            <w:tcW w:w="957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FD4B00" w:rsidRPr="00EE60B5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B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3" w:type="dxa"/>
          </w:tcPr>
          <w:p w:rsidR="00FD4B00" w:rsidRPr="00EE60B5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B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3" w:type="dxa"/>
          </w:tcPr>
          <w:p w:rsidR="00FD4B00" w:rsidRPr="00EE60B5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E60B5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</w:tr>
      <w:tr w:rsidR="00FD4B00" w:rsidTr="001F2950">
        <w:tc>
          <w:tcPr>
            <w:tcW w:w="9855" w:type="dxa"/>
            <w:gridSpan w:val="4"/>
          </w:tcPr>
          <w:p w:rsidR="00FD4B00" w:rsidRPr="00BA4B58" w:rsidRDefault="00FD4B00" w:rsidP="00FD4B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FD4B00" w:rsidTr="001F2950">
        <w:tc>
          <w:tcPr>
            <w:tcW w:w="957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район»: </w:t>
            </w:r>
          </w:p>
          <w:p w:rsidR="00FD4B00" w:rsidRPr="00EE60B5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 в сфере объектов земельных отношений</w:t>
            </w:r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материалов, информационных писем,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 соблюдению обязательных требований</w:t>
            </w:r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A0" w:rsidRDefault="006F4BA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EE60B5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2473" w:type="dxa"/>
          </w:tcPr>
          <w:p w:rsidR="00A07CDD" w:rsidRPr="00A07CDD" w:rsidRDefault="00A07CDD" w:rsidP="003E4A63">
            <w:pPr>
              <w:rPr>
                <w:rFonts w:ascii="Times New Roman" w:hAnsi="Times New Roman"/>
                <w:sz w:val="28"/>
                <w:szCs w:val="28"/>
              </w:rPr>
            </w:pPr>
            <w:r w:rsidRPr="00A07CDD">
              <w:rPr>
                <w:rFonts w:ascii="Times New Roman" w:hAnsi="Times New Roman"/>
                <w:sz w:val="28"/>
                <w:szCs w:val="28"/>
              </w:rPr>
              <w:lastRenderedPageBreak/>
              <w:t>По мере издания</w:t>
            </w:r>
          </w:p>
          <w:p w:rsidR="00FD4B00" w:rsidRPr="00A07CDD" w:rsidRDefault="00A07CDD" w:rsidP="00A07C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CDD">
              <w:rPr>
                <w:rFonts w:ascii="Times New Roman" w:hAnsi="Times New Roman"/>
                <w:sz w:val="28"/>
                <w:szCs w:val="28"/>
              </w:rPr>
              <w:t>нормативных правовых актов, внесения изменений в нормативные правовые акты</w:t>
            </w:r>
          </w:p>
          <w:p w:rsidR="003E4A63" w:rsidRDefault="003E4A63" w:rsidP="003E4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A63" w:rsidRDefault="003E4A63" w:rsidP="003E4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A63" w:rsidRDefault="003E4A63" w:rsidP="003E4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A63" w:rsidRDefault="003E4A63" w:rsidP="003E4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A63" w:rsidRDefault="003E4A63" w:rsidP="003E4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A63" w:rsidRPr="00A07CDD" w:rsidRDefault="003E4A63" w:rsidP="003E4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год</w:t>
            </w: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после их утверждения</w:t>
            </w:r>
          </w:p>
          <w:p w:rsidR="00FE23FB" w:rsidRDefault="00FE23FB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463" w:type="dxa"/>
          </w:tcPr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имущественных и земельных отношений 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00" w:rsidRPr="00BA4B58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00" w:rsidTr="001F2950">
        <w:tc>
          <w:tcPr>
            <w:tcW w:w="957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3"/>
          </w:tcPr>
          <w:p w:rsidR="00FD4B00" w:rsidRPr="000C4B99" w:rsidRDefault="00FD4B00" w:rsidP="001F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B99">
              <w:rPr>
                <w:rFonts w:ascii="Times New Roman" w:hAnsi="Times New Roman" w:cs="Times New Roman"/>
                <w:b/>
                <w:sz w:val="28"/>
                <w:szCs w:val="28"/>
              </w:rPr>
              <w:t>2.Консультирование</w:t>
            </w:r>
          </w:p>
        </w:tc>
      </w:tr>
      <w:tr w:rsidR="00FD4B00" w:rsidTr="001F2950">
        <w:tc>
          <w:tcPr>
            <w:tcW w:w="957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2" w:type="dxa"/>
          </w:tcPr>
          <w:p w:rsidR="00FD4B00" w:rsidRDefault="00FD4B00" w:rsidP="001F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связанным с организацией осуществлением муниципального контроля в сфере земельных отношений:</w:t>
            </w:r>
          </w:p>
          <w:p w:rsidR="00FD4B00" w:rsidRDefault="00FD4B00" w:rsidP="001F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1.Порядок проведения контрольных мероприятий;</w:t>
            </w:r>
          </w:p>
          <w:p w:rsidR="00FD4B00" w:rsidRDefault="00FD4B00" w:rsidP="001F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2.Порядок осуществлений профилактических мероприятий;</w:t>
            </w:r>
          </w:p>
          <w:p w:rsidR="00FD4B00" w:rsidRDefault="00FD4B00" w:rsidP="001F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Порядок принятия решений по итогам контрольных мероприятий;</w:t>
            </w:r>
          </w:p>
          <w:p w:rsidR="00FD4B00" w:rsidRDefault="00FD4B00" w:rsidP="001F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4.Порядок обжалования решений Контрольного органа.</w:t>
            </w:r>
          </w:p>
        </w:tc>
        <w:tc>
          <w:tcPr>
            <w:tcW w:w="2473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устных и письменных разъяснений</w:t>
            </w:r>
          </w:p>
        </w:tc>
        <w:tc>
          <w:tcPr>
            <w:tcW w:w="2463" w:type="dxa"/>
          </w:tcPr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00" w:rsidTr="001F2950">
        <w:tc>
          <w:tcPr>
            <w:tcW w:w="957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3"/>
          </w:tcPr>
          <w:p w:rsidR="00FD4B00" w:rsidRPr="000C4B99" w:rsidRDefault="00FD4B00" w:rsidP="001F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B99">
              <w:rPr>
                <w:rFonts w:ascii="Times New Roman" w:hAnsi="Times New Roman" w:cs="Times New Roman"/>
                <w:b/>
                <w:sz w:val="28"/>
                <w:szCs w:val="28"/>
              </w:rPr>
              <w:t>3.Объявление предостережения</w:t>
            </w:r>
          </w:p>
        </w:tc>
      </w:tr>
      <w:tr w:rsidR="00FD4B00" w:rsidTr="001F2950">
        <w:tc>
          <w:tcPr>
            <w:tcW w:w="957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2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 осуществления деятельности</w:t>
            </w:r>
          </w:p>
        </w:tc>
        <w:tc>
          <w:tcPr>
            <w:tcW w:w="2473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должностными лицами, уполномоченными на осуществления контроля в сфере объектов земельных отношений</w:t>
            </w:r>
          </w:p>
        </w:tc>
        <w:tc>
          <w:tcPr>
            <w:tcW w:w="2463" w:type="dxa"/>
          </w:tcPr>
          <w:p w:rsidR="00FD4B00" w:rsidRDefault="00FD4B00" w:rsidP="001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00" w:rsidTr="001F2950">
        <w:tc>
          <w:tcPr>
            <w:tcW w:w="957" w:type="dxa"/>
          </w:tcPr>
          <w:p w:rsidR="00FD4B00" w:rsidRDefault="00FD4B00" w:rsidP="001F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3"/>
          </w:tcPr>
          <w:p w:rsidR="00FD4B00" w:rsidRPr="000C4B99" w:rsidRDefault="00FD4B00" w:rsidP="001F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B99">
              <w:rPr>
                <w:rFonts w:ascii="Times New Roman" w:hAnsi="Times New Roman" w:cs="Times New Roman"/>
                <w:b/>
                <w:sz w:val="28"/>
                <w:szCs w:val="28"/>
              </w:rPr>
              <w:t>4.Профилактический визит</w:t>
            </w:r>
          </w:p>
        </w:tc>
      </w:tr>
      <w:tr w:rsidR="006F4BA0" w:rsidRPr="006F4BA0" w:rsidTr="001F2950">
        <w:tc>
          <w:tcPr>
            <w:tcW w:w="957" w:type="dxa"/>
          </w:tcPr>
          <w:p w:rsidR="00FD4B00" w:rsidRPr="006F4BA0" w:rsidRDefault="00FD4B00" w:rsidP="001F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962" w:type="dxa"/>
          </w:tcPr>
          <w:p w:rsidR="00FD4B00" w:rsidRPr="006F4BA0" w:rsidRDefault="00FD4B00" w:rsidP="001F2950">
            <w:pPr>
              <w:pStyle w:val="consplusnormal0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4BA0">
              <w:rPr>
                <w:color w:val="000000" w:themeColor="text1"/>
                <w:sz w:val="28"/>
                <w:szCs w:val="28"/>
              </w:rPr>
              <w:t xml:space="preserve">Профилактический визит проводится в форме профилактической беседы по месту осуществления деятельности </w:t>
            </w:r>
            <w:r w:rsidRPr="006F4BA0">
              <w:rPr>
                <w:color w:val="000000" w:themeColor="text1"/>
                <w:sz w:val="28"/>
                <w:szCs w:val="28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FD4B00" w:rsidRPr="006F4BA0" w:rsidRDefault="00FD4B00" w:rsidP="001F2950">
            <w:pPr>
              <w:pStyle w:val="consplusnormal0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4BA0">
              <w:rPr>
                <w:color w:val="000000" w:themeColor="text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FD4B00" w:rsidRPr="006F4BA0" w:rsidRDefault="00FD4B00" w:rsidP="001F2950">
            <w:pPr>
              <w:pStyle w:val="consplusnormal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F4BA0">
              <w:rPr>
                <w:color w:val="000000" w:themeColor="text1"/>
                <w:sz w:val="28"/>
                <w:szCs w:val="28"/>
              </w:rPr>
      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начала такой деятельности. </w:t>
            </w:r>
          </w:p>
        </w:tc>
        <w:tc>
          <w:tcPr>
            <w:tcW w:w="2473" w:type="dxa"/>
          </w:tcPr>
          <w:p w:rsidR="00FD4B00" w:rsidRPr="006F4BA0" w:rsidRDefault="00FD4B00" w:rsidP="001F2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раз в год</w:t>
            </w:r>
          </w:p>
          <w:p w:rsidR="00FD4B00" w:rsidRPr="006F4BA0" w:rsidRDefault="00FD4B00" w:rsidP="001F2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</w:tcPr>
          <w:p w:rsidR="00FD4B00" w:rsidRPr="006F4BA0" w:rsidRDefault="00FD4B00" w:rsidP="001F29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имущественных и земельных отношений  администрации </w:t>
            </w:r>
            <w:r w:rsidRPr="006F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МР «</w:t>
            </w:r>
            <w:proofErr w:type="spellStart"/>
            <w:r w:rsidRPr="006F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Балейский</w:t>
            </w:r>
            <w:proofErr w:type="spellEnd"/>
            <w:r w:rsidRPr="006F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</w:tr>
    </w:tbl>
    <w:p w:rsidR="00FD4B00" w:rsidRPr="006F4BA0" w:rsidRDefault="00FD4B00" w:rsidP="00FD4B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B00" w:rsidRPr="006F4BA0" w:rsidRDefault="00FD4B00" w:rsidP="00FD4B00">
      <w:pPr>
        <w:pStyle w:val="ConsPlusNormal"/>
        <w:jc w:val="center"/>
        <w:rPr>
          <w:color w:val="000000" w:themeColor="text1"/>
        </w:rPr>
      </w:pPr>
    </w:p>
    <w:p w:rsidR="00FD4B00" w:rsidRPr="006F4BA0" w:rsidRDefault="00FD4B00" w:rsidP="00FD4B00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F4BA0">
        <w:rPr>
          <w:color w:val="000000" w:themeColor="text1"/>
          <w:sz w:val="28"/>
          <w:szCs w:val="28"/>
          <w:lang w:val="en-US"/>
        </w:rPr>
        <w:t>IV</w:t>
      </w:r>
      <w:r w:rsidRPr="006F4BA0">
        <w:rPr>
          <w:color w:val="000000" w:themeColor="text1"/>
          <w:sz w:val="28"/>
          <w:szCs w:val="28"/>
        </w:rPr>
        <w:t>. Целевые показатели результативности мероприятий Программы.</w:t>
      </w:r>
    </w:p>
    <w:p w:rsidR="00FD4B00" w:rsidRPr="006F4BA0" w:rsidRDefault="00FD4B00" w:rsidP="00FD4B00">
      <w:pPr>
        <w:pStyle w:val="consplustitle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F4BA0">
        <w:rPr>
          <w:color w:val="000000" w:themeColor="text1"/>
          <w:sz w:val="28"/>
          <w:szCs w:val="28"/>
        </w:rPr>
        <w:t>Ожидаемый результат Программы</w:t>
      </w:r>
    </w:p>
    <w:p w:rsidR="00FD4B00" w:rsidRPr="006F4BA0" w:rsidRDefault="00FD4B00" w:rsidP="00FD4B00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D4B00" w:rsidRPr="006F4BA0" w:rsidRDefault="00FD4B00" w:rsidP="00FD4B00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4BA0">
        <w:rPr>
          <w:color w:val="000000" w:themeColor="text1"/>
          <w:sz w:val="28"/>
          <w:szCs w:val="28"/>
        </w:rPr>
        <w:t>Целевые показатели результативности мероприятий Программы в сфере муниципального земельного контроля:</w:t>
      </w:r>
    </w:p>
    <w:p w:rsidR="00FD4B00" w:rsidRPr="006F4BA0" w:rsidRDefault="00FD4B00" w:rsidP="00FD4B00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4BA0">
        <w:rPr>
          <w:color w:val="000000" w:themeColor="text1"/>
          <w:sz w:val="28"/>
          <w:szCs w:val="28"/>
        </w:rPr>
        <w:t>1.Количество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:rsidR="00FD4B00" w:rsidRPr="006F4BA0" w:rsidRDefault="00FD4B00" w:rsidP="00FD4B00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4BA0">
        <w:rPr>
          <w:color w:val="000000" w:themeColor="text1"/>
          <w:sz w:val="28"/>
          <w:szCs w:val="28"/>
        </w:rPr>
        <w:t>2. Количество проведенных профилактических мероприятий.</w:t>
      </w:r>
    </w:p>
    <w:p w:rsidR="00FD4B00" w:rsidRPr="006F4BA0" w:rsidRDefault="00FD4B00" w:rsidP="00FD4B00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4BA0">
        <w:rPr>
          <w:color w:val="000000" w:themeColor="text1"/>
          <w:sz w:val="28"/>
          <w:szCs w:val="28"/>
        </w:rPr>
        <w:t>3.Проведение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:rsidR="00FD4B00" w:rsidRPr="006F4BA0" w:rsidRDefault="00FD4B00" w:rsidP="00FD4B00">
      <w:pPr>
        <w:pStyle w:val="consplusnormal0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6F4BA0">
        <w:rPr>
          <w:color w:val="000000" w:themeColor="text1"/>
          <w:sz w:val="28"/>
          <w:szCs w:val="28"/>
        </w:rPr>
        <w:t>4. Ожидаемый результат от реализации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FD4B00" w:rsidRPr="006F4BA0" w:rsidRDefault="00FD4B00" w:rsidP="00FD4B00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4BA0">
        <w:rPr>
          <w:color w:val="000000" w:themeColor="text1"/>
          <w:sz w:val="28"/>
          <w:szCs w:val="28"/>
        </w:rPr>
        <w:t>5. Срок реализации программы: с 01 января 202</w:t>
      </w:r>
      <w:r w:rsidR="006F4BA0" w:rsidRPr="006F4BA0">
        <w:rPr>
          <w:color w:val="000000" w:themeColor="text1"/>
          <w:sz w:val="28"/>
          <w:szCs w:val="28"/>
        </w:rPr>
        <w:t>3</w:t>
      </w:r>
      <w:r w:rsidRPr="006F4BA0">
        <w:rPr>
          <w:color w:val="000000" w:themeColor="text1"/>
          <w:sz w:val="28"/>
          <w:szCs w:val="28"/>
        </w:rPr>
        <w:t xml:space="preserve"> года по 31 декабря 202</w:t>
      </w:r>
      <w:r w:rsidRPr="006F4BA0">
        <w:rPr>
          <w:color w:val="000000" w:themeColor="text1"/>
          <w:sz w:val="28"/>
          <w:szCs w:val="28"/>
        </w:rPr>
        <w:t>3</w:t>
      </w:r>
      <w:r w:rsidRPr="006F4BA0">
        <w:rPr>
          <w:color w:val="000000" w:themeColor="text1"/>
          <w:sz w:val="28"/>
          <w:szCs w:val="28"/>
        </w:rPr>
        <w:t xml:space="preserve"> года.</w:t>
      </w:r>
    </w:p>
    <w:p w:rsidR="00AD1928" w:rsidRPr="006F4BA0" w:rsidRDefault="00AD1928">
      <w:pPr>
        <w:rPr>
          <w:color w:val="000000" w:themeColor="text1"/>
        </w:rPr>
      </w:pPr>
    </w:p>
    <w:p w:rsidR="00F82AB8" w:rsidRDefault="00F82AB8"/>
    <w:p w:rsidR="00F82AB8" w:rsidRDefault="00F82AB8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62A" w:rsidRDefault="00CB762A" w:rsidP="00F8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2AB8" w:rsidRDefault="00F82AB8"/>
    <w:sectPr w:rsidR="00F82AB8" w:rsidSect="00FE23FB">
      <w:headerReference w:type="first" r:id="rId6"/>
      <w:pgSz w:w="11907" w:h="16840" w:code="9"/>
      <w:pgMar w:top="709" w:right="567" w:bottom="568" w:left="1701" w:header="568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91" w:rsidRDefault="00FD4B00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6FA86947" wp14:editId="2ADBA90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46">
      <w:t xml:space="preserve">Проект </w:t>
    </w:r>
  </w:p>
  <w:p w:rsidR="006F3091" w:rsidRDefault="00EF5046">
    <w:pPr>
      <w:jc w:val="center"/>
      <w:rPr>
        <w:b/>
      </w:rPr>
    </w:pPr>
  </w:p>
  <w:p w:rsidR="006F3091" w:rsidRDefault="00EF5046">
    <w:pPr>
      <w:jc w:val="center"/>
      <w:rPr>
        <w:b/>
      </w:rPr>
    </w:pPr>
  </w:p>
  <w:p w:rsidR="006F3091" w:rsidRDefault="00EF5046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EF5046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EF5046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EF5046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EF5046">
    <w:pPr>
      <w:pStyle w:val="1"/>
      <w:spacing w:before="120"/>
    </w:pPr>
    <w:r>
      <w:t>ПОСТАНОВЛЕНИЕ</w:t>
    </w:r>
  </w:p>
  <w:p w:rsidR="006F3091" w:rsidRDefault="00EF5046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EF5046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EF5046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EF5046">
          <w:pPr>
            <w:jc w:val="both"/>
            <w:rPr>
              <w:sz w:val="28"/>
              <w:szCs w:val="28"/>
            </w:rPr>
          </w:pPr>
        </w:p>
      </w:tc>
    </w:tr>
  </w:tbl>
  <w:p w:rsidR="006F3091" w:rsidRDefault="00EF5046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535"/>
    <w:multiLevelType w:val="hybridMultilevel"/>
    <w:tmpl w:val="966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48"/>
    <w:rsid w:val="003E4A63"/>
    <w:rsid w:val="0058728E"/>
    <w:rsid w:val="006104BA"/>
    <w:rsid w:val="006F4BA0"/>
    <w:rsid w:val="00A07CDD"/>
    <w:rsid w:val="00AD1928"/>
    <w:rsid w:val="00CB762A"/>
    <w:rsid w:val="00E94048"/>
    <w:rsid w:val="00F82AB8"/>
    <w:rsid w:val="00FD4B00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4B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B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D4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4B00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FD4B00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D4B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D4B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4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F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4B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B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D4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4B00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FD4B00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D4B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D4B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D4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F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2022-09-30T07:23:00Z</dcterms:created>
  <dcterms:modified xsi:type="dcterms:W3CDTF">2022-09-30T07:32:00Z</dcterms:modified>
</cp:coreProperties>
</file>